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9C" w:rsidRPr="009B369C" w:rsidRDefault="009B369C" w:rsidP="009B369C">
      <w:pPr>
        <w:shd w:val="clear" w:color="auto" w:fill="FFFFFF"/>
        <w:spacing w:before="100" w:beforeAutospacing="1" w:after="100" w:afterAutospacing="1" w:line="192" w:lineRule="auto"/>
        <w:jc w:val="center"/>
        <w:rPr>
          <w:rFonts w:ascii="LatoWeb" w:eastAsia="Times New Roman" w:hAnsi="LatoWeb" w:cs="Times New Roman"/>
          <w:color w:val="212121"/>
          <w:kern w:val="36"/>
          <w:sz w:val="36"/>
          <w:szCs w:val="36"/>
          <w:bdr w:val="none" w:sz="0" w:space="0" w:color="auto" w:frame="1"/>
          <w:lang w:val="en"/>
        </w:rPr>
      </w:pPr>
      <w:r w:rsidRPr="009B369C">
        <w:rPr>
          <w:rFonts w:ascii="LatoWeb" w:eastAsia="Times New Roman" w:hAnsi="LatoWeb" w:cs="Times New Roman"/>
          <w:color w:val="212121"/>
          <w:kern w:val="36"/>
          <w:sz w:val="36"/>
          <w:szCs w:val="36"/>
          <w:bdr w:val="none" w:sz="0" w:space="0" w:color="auto" w:frame="1"/>
          <w:lang w:val="en"/>
        </w:rPr>
        <w:t>Social-Ecological Systems</w:t>
      </w:r>
    </w:p>
    <w:p w:rsidR="009B369C" w:rsidRDefault="009B369C" w:rsidP="009B369C">
      <w:pPr>
        <w:shd w:val="clear" w:color="auto" w:fill="FFFFFF"/>
        <w:spacing w:before="100" w:beforeAutospacing="1" w:after="100" w:afterAutospacing="1" w:line="192" w:lineRule="auto"/>
        <w:jc w:val="center"/>
        <w:rPr>
          <w:rFonts w:ascii="LatoWeb" w:eastAsia="Times New Roman" w:hAnsi="LatoWeb" w:cs="Times New Roman"/>
          <w:color w:val="212121"/>
          <w:kern w:val="36"/>
          <w:sz w:val="36"/>
          <w:szCs w:val="36"/>
          <w:bdr w:val="none" w:sz="0" w:space="0" w:color="auto" w:frame="1"/>
          <w:lang w:val="en"/>
        </w:rPr>
      </w:pPr>
      <w:r w:rsidRPr="009B369C">
        <w:rPr>
          <w:rFonts w:ascii="LatoWeb" w:eastAsia="Times New Roman" w:hAnsi="LatoWeb" w:cs="Times New Roman"/>
          <w:color w:val="212121"/>
          <w:kern w:val="36"/>
          <w:sz w:val="36"/>
          <w:szCs w:val="36"/>
          <w:bdr w:val="none" w:sz="0" w:space="0" w:color="auto" w:frame="1"/>
          <w:lang w:val="en"/>
        </w:rPr>
        <w:t xml:space="preserve">ECL 298/ENV 200C </w:t>
      </w:r>
    </w:p>
    <w:p w:rsidR="009B369C" w:rsidRPr="009B369C" w:rsidRDefault="009B369C" w:rsidP="009B369C">
      <w:pPr>
        <w:shd w:val="clear" w:color="auto" w:fill="FFFFFF"/>
        <w:spacing w:before="100" w:beforeAutospacing="1" w:after="100" w:afterAutospacing="1" w:line="192" w:lineRule="auto"/>
        <w:jc w:val="center"/>
        <w:rPr>
          <w:rFonts w:ascii="LatoWeb" w:eastAsia="Times New Roman" w:hAnsi="LatoWeb" w:cs="Times New Roman"/>
          <w:color w:val="212121"/>
          <w:kern w:val="36"/>
          <w:sz w:val="36"/>
          <w:szCs w:val="36"/>
          <w:bdr w:val="none" w:sz="0" w:space="0" w:color="auto" w:frame="1"/>
          <w:lang w:val="en"/>
        </w:rPr>
      </w:pPr>
      <w:r>
        <w:rPr>
          <w:rFonts w:ascii="LatoWeb" w:eastAsia="Times New Roman" w:hAnsi="LatoWeb" w:cs="Times New Roman"/>
          <w:color w:val="212121"/>
          <w:kern w:val="36"/>
          <w:sz w:val="36"/>
          <w:szCs w:val="36"/>
          <w:bdr w:val="none" w:sz="0" w:space="0" w:color="auto" w:frame="1"/>
          <w:lang w:val="en"/>
        </w:rPr>
        <w:t>Winter 2019 Syllabus</w:t>
      </w:r>
    </w:p>
    <w:p w:rsidR="00956CD6" w:rsidRPr="00956CD6" w:rsidRDefault="00956CD6" w:rsidP="009B369C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Course Requirements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Attend clas</w:t>
      </w:r>
      <w:r w:rsidR="009B369C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s and participate in discussion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: 30%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Submit discussion questions: 30%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Final paper: 40%</w:t>
      </w:r>
      <w:bookmarkStart w:id="0" w:name="_GoBack"/>
      <w:bookmarkEnd w:id="0"/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Possible Paper Formats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Conference paper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Literature review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Grant application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proofErr w:type="gram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Qualifying</w:t>
      </w:r>
      <w:proofErr w:type="gram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 exam/thesis proposal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Policy brief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World Cafe Format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6 Groups of 5 or 6 students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Day 1 (Jan 10): Split into six groups and choose social ecological system for case study 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Day 2 (Jan 15): Groups 1-3 provide summary presentation of study applying </w:t>
      </w: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Ostrom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 framework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Day 3 (Jan 17): Groups 4-6 provide summary presentation of study applying </w:t>
      </w: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Ostrom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 framework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left="375" w:hanging="360"/>
        <w:rPr>
          <w:rFonts w:ascii="Calibri" w:eastAsia="Times New Roman" w:hAnsi="Calibri" w:cs="Calibri"/>
          <w:color w:val="212121"/>
        </w:rPr>
      </w:pPr>
      <w:r w:rsidRPr="00956CD6">
        <w:rPr>
          <w:rFonts w:ascii="Symbol" w:eastAsia="Times New Roman" w:hAnsi="Symbol" w:cs="Calibri"/>
          <w:color w:val="212121"/>
          <w:sz w:val="20"/>
          <w:szCs w:val="20"/>
          <w:bdr w:val="none" w:sz="0" w:space="0" w:color="auto" w:frame="1"/>
          <w:lang w:val="en"/>
        </w:rPr>
        <w:t></w:t>
      </w:r>
      <w:r w:rsidRPr="00956CD6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val="en"/>
        </w:rPr>
        <w:t>         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Weekly Facilitated Discussions: Based on 3-5 questions chosen from submitted reading questions, group applies those questions to their case studies. Rotation and report out.  Each student must take one turn reporting out, and writing a document for submission and grading.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Week 1 (January 8/10): SES Frameworks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Folke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Carl, Thomas Hahn, Per Olsson, and Jon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Norberg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(2005). "</w:t>
      </w:r>
      <w:hyperlink r:id="rId4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ADAPTIVE GOVERNANCE OF SOCIAL-ECOLOGICAL SYSTEMS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Annual Review of Environment and Resources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30 (1): 441-473.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Ostrom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Elinor. (2009). "</w:t>
      </w:r>
      <w:hyperlink r:id="rId5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 General Framework for Analyzing Sustainability of Social-Ecological Systems."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Science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325 (5939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):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419-422.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*Epstein, Graham, et al. "</w:t>
      </w:r>
      <w:hyperlink r:id="rId6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Missing ecology: integrating ecological perspectives with the social-ecological system framework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International Journal of the Commons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7.2 (2013): 432-453.</w:t>
      </w:r>
    </w:p>
    <w:p w:rsidR="00956CD6" w:rsidRPr="00956CD6" w:rsidRDefault="00956CD6" w:rsidP="0095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lastRenderedPageBreak/>
        <w:t>Partelow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, Stefan 2018 </w:t>
      </w:r>
      <w:proofErr w:type="gram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A</w:t>
      </w:r>
      <w:proofErr w:type="gram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 Review of the Social-Ecological Systems Framework: Applications, Methods, Modifications, and Challenges. Ecology and Society 23(4).</w:t>
      </w:r>
      <w:hyperlink r:id="rId7" w:tgtFrame="_blank" w:history="1">
        <w:r w:rsidRPr="00956CD6">
          <w:rPr>
            <w:rFonts w:ascii="LatoWeb" w:eastAsia="Times New Roman" w:hAnsi="LatoWeb" w:cs="Calibr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https://www.ecologyandsociety.org/vol23/iss4/art36/ (Links to an external site.)Links to an external site.</w:t>
        </w:r>
      </w:hyperlink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Vogt, Jessica M., Graham B. Epstein, Sarah K.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Mincey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Burnell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C. Fischer, and Paul McCord. 2015. “</w:t>
      </w:r>
      <w:hyperlink r:id="rId8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Putting the ‘E’ in SES: Unpacking the Ecology in the </w:t>
        </w:r>
        <w:proofErr w:type="spell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Ostrom</w:t>
        </w:r>
        <w:proofErr w:type="spellEnd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 Social-Ecological System Framework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Ecology and Society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 20 (1). 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doi: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10.5751/ES-07239-200155.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Anderies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J. M., M. A. Janssen, and E.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Ostrom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(2004). </w:t>
      </w:r>
      <w:hyperlink r:id="rId9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 framework to analyze the robustness of social-ecological systems from an institutional perspective (Links to an external site.)Links to an external site.</w:t>
        </w:r>
      </w:hyperlink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.  Ecology and Society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9(1):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Janssen, Marco A., Michael L.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Schoon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Weimao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and Katy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Börner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(2006). "</w:t>
      </w:r>
      <w:hyperlink r:id="rId10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Scholarly networks on resilience, vulnerability and adaptation within the human dimensions of global environmental change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16 (3): 240-252.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Binder, Claudia R.,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Jochen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Hinkel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Pieter WG Bots, and Claudia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Pahl-Wostl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"</w:t>
      </w:r>
      <w:hyperlink r:id="rId11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Comparison of Frameworks for Analyzing Social-ecological Systems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Ecology and Society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18, no. 4 (2013): 26.</w:t>
      </w:r>
    </w:p>
    <w:p w:rsidR="00956CD6" w:rsidRPr="00956CD6" w:rsidRDefault="00956CD6" w:rsidP="0095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Wang, B., Pan, S.Y., </w:t>
      </w: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Ke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, R.Y., Wang, K. and Wei, Y.M., 2014. </w:t>
      </w:r>
      <w:hyperlink r:id="rId12" w:tgtFrame="_blank" w:history="1">
        <w:r w:rsidRPr="00956CD6">
          <w:rPr>
            <w:rFonts w:ascii="LatoWeb" w:eastAsia="Times New Roman" w:hAnsi="LatoWeb" w:cs="Calibr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An overview of climate change vulnerability: a bibliometric analysis based on Web of Science database (Links to an external site.)Links to an external site.</w:t>
        </w:r>
      </w:hyperlink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. </w:t>
      </w:r>
      <w:r w:rsidRPr="00956CD6">
        <w:rPr>
          <w:rFonts w:ascii="LatoWeb" w:eastAsia="Times New Roman" w:hAnsi="LatoWeb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Natural hazards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, </w:t>
      </w:r>
      <w:r w:rsidRPr="00956CD6">
        <w:rPr>
          <w:rFonts w:ascii="LatoWeb" w:eastAsia="Times New Roman" w:hAnsi="LatoWeb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74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(3), pp.1649-1666.</w:t>
      </w:r>
    </w:p>
    <w:p w:rsidR="00956CD6" w:rsidRPr="00956CD6" w:rsidRDefault="00956CD6" w:rsidP="0095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Williams et al. 2019. </w:t>
      </w:r>
      <w:hyperlink r:id="rId13" w:tgtFrame="_blank" w:history="1">
        <w:r w:rsidRPr="00956CD6">
          <w:rPr>
            <w:rFonts w:ascii="LatoWeb" w:eastAsia="Times New Roman" w:hAnsi="LatoWeb" w:cs="Calibr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Coral Reef Ecology in the Anthropocene.  (Links to an external site.)Links to an external </w:t>
        </w:r>
        <w:proofErr w:type="spellStart"/>
        <w:r w:rsidRPr="00956CD6">
          <w:rPr>
            <w:rFonts w:ascii="LatoWeb" w:eastAsia="Times New Roman" w:hAnsi="LatoWeb" w:cs="Calibr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site.</w:t>
        </w:r>
      </w:hyperlink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Functional</w:t>
      </w:r>
      <w:proofErr w:type="spell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 Ecology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Week 2 (January 15/17): Case Study Overviews: Student Groups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Student teams present basic ideas and research questions in relation to the SES frameworks.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Week 3 (January 22/24): Resilience, Vulnerability, and Adaptive Capacity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Folke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Carl. (2006). "</w:t>
      </w:r>
      <w:hyperlink r:id="rId14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Resilience: The emergence of a perspective for social–ecological systems analyses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16 (3): 253-267.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Adger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W. Neil. (2006). "</w:t>
      </w:r>
      <w:hyperlink r:id="rId15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Vulnerability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16 (3): 268-281.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*Smit, Barry, and Johanna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Wandel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(2006). "</w:t>
      </w:r>
      <w:hyperlink r:id="rId16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Adaptation, adaptive capacity and vulnerability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16 (3): 282-292.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lastRenderedPageBreak/>
        <w:t xml:space="preserve">*(empirical example) Brooks, Nick, W. Neil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Adger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and P. Mick Kelly. "</w:t>
      </w:r>
      <w:hyperlink r:id="rId17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 determinants of vulnerability and adaptive capacity at the national level and the implications for adaptation."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15, no. 2 (2005): 151-163.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Moser, Susanne, Sara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Meerow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James Arnott, and Emily Jack-Scott. "</w:t>
      </w:r>
      <w:hyperlink r:id="rId18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The turbulent world of resilience: interpretations and themes for transdisciplinary dialog (Links to an external site.)Links to an external </w:t>
        </w:r>
        <w:proofErr w:type="spell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</w:t>
      </w:r>
      <w:r w:rsidRPr="00956CD6">
        <w:rPr>
          <w:rFonts w:ascii="LatoWeb" w:eastAsia="Times New Roman" w:hAnsi="LatoWeb" w:cs="Segoe UI"/>
          <w:i/>
          <w:iCs/>
          <w:color w:val="212121"/>
          <w:sz w:val="24"/>
          <w:szCs w:val="24"/>
          <w:bdr w:val="none" w:sz="0" w:space="0" w:color="auto" w:frame="1"/>
          <w:lang w:val="en"/>
        </w:rPr>
        <w:t>Climatic</w:t>
      </w:r>
      <w:proofErr w:type="spellEnd"/>
      <w:r w:rsidRPr="00956CD6">
        <w:rPr>
          <w:rFonts w:ascii="LatoWeb" w:eastAsia="Times New Roman" w:hAnsi="LatoWeb" w:cs="Segoe U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(2019): 1-20.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(empirical example)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o’Brien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Karen, Robin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Leichenko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Ulka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Kelkar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Henry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Venema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Guro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Aandahl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Heather Tompkins,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Akram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Javed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et al. "</w:t>
      </w:r>
      <w:hyperlink r:id="rId19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Mapping vulnerability to multiple stressors: climate change and globalization in India.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14, no. 4 (2004): 303-313.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(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empirical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example)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Milman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Anita, et al. "</w:t>
      </w:r>
      <w:hyperlink r:id="rId20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Assessment of institutional capacity to adapt to climate change in transboundary river basins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Climatic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121.4 (2013): 755-770.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Gallopín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G.C., 2006. </w:t>
      </w:r>
      <w:hyperlink r:id="rId21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Linkages between vulnerability, resilience, and adaptive capacity.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LatoWeb" w:eastAsia="Times New Roman" w:hAnsi="LatoWeb" w:cs="Segoe U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 </w:t>
      </w:r>
      <w:r w:rsidRPr="00956CD6">
        <w:rPr>
          <w:rFonts w:ascii="LatoWeb" w:eastAsia="Times New Roman" w:hAnsi="LatoWeb" w:cs="Segoe UI"/>
          <w:i/>
          <w:iCs/>
          <w:color w:val="212121"/>
          <w:sz w:val="24"/>
          <w:szCs w:val="24"/>
          <w:bdr w:val="none" w:sz="0" w:space="0" w:color="auto" w:frame="1"/>
          <w:lang w:val="en"/>
        </w:rPr>
        <w:t>16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(3), pp.293-303.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Gunderson, Lance H. (2000). "</w:t>
      </w:r>
      <w:hyperlink r:id="rId22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Ecological Resilience--In Theory and Application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Annual Review of Ecology and Systematics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31 (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ArticleType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: research-article / Full publication date: 2000 / Copyright © 2000 Annual Reviews): 425-439.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Holling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C. S. (1973). </w:t>
      </w:r>
      <w:hyperlink r:id="rId23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"Resilience and Stability of Ecological Systems."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Annual Review of Ecology and Systematics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4 (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ArticleType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: research-article / Full publication date: 1973 / Copyright © 1973 Annual Reviews): 1-23.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Barbara, J.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Downes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Miller Fiona, Barnett Jon,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Glaister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Alena, and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Ellemor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Heidi. 2013. "</w:t>
      </w:r>
      <w:hyperlink r:id="rId24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How do we know about resilience (Links to an external </w:t>
        </w:r>
        <w:proofErr w:type="gram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site.</w:t>
        </w:r>
        <w:proofErr w:type="gramEnd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)Links to an external </w:t>
        </w:r>
        <w:proofErr w:type="gram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?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An analysis of empirical research on resilience, and implications for interdisciplinary praxis."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Environmental Research Letters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8 (1): 014041.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Lebel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L., J. M.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Anderies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B. Campbell, C.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Folke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S. Hatfield-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Dodds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T. P. Hughes. 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and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J. Wilson. 2006. </w:t>
      </w:r>
      <w:hyperlink r:id="rId25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Governance and the capacity to manage resilience in regional social-ecological systems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Ecology and Society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11(1): 19.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Benson, M. H. and R. K. Craig (2014). "</w:t>
      </w:r>
      <w:hyperlink r:id="rId26" w:anchor=".U78Y87EvDW4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 End of Sustainability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u w:val="single"/>
          <w:bdr w:val="none" w:sz="0" w:space="0" w:color="auto" w:frame="1"/>
          <w:lang w:val="en"/>
        </w:rPr>
        <w:t>Society &amp; Natural Resources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27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(7): 777-782.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Turner, Billie L., Roger E.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Kasperson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Pamela A. Matson, James J. McCarthy, Robert W.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Corell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Lindsey Christensen, Noelle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Eckley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et al. [http://%22A%20framework%20for%20vulnerability%20analysis%20in%20sustainability%20science]"A framework for vulnerability analysis in sustainability science (Links to an external 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lastRenderedPageBreak/>
        <w:t>site.)Links to an external site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.."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Proceedings of the national academy of sciences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100, no. 14 (2003): 8074-8079.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Turner, Billie Lee, Pamela A. Matson, James J. McCarthy, Robert W.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Corell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Lindsey Christensen, Noelle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Eckley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Grete K.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Hovelsrud-Broda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et al. "</w:t>
      </w:r>
      <w:hyperlink r:id="rId27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Illustrating the coupled human–environment system for vulnerability analysis: three case studies.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Proceedings of the National Academy of Sciences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100, no. 14 (2003): 8080-8085.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Engle, Nathan L. "</w:t>
      </w:r>
      <w:hyperlink r:id="rId28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Adaptive capacity and its assessment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21.2 (2011): 647-656.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Week 4 (Jan 29/31): Institutions and Collective Action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*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Ostrom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Elinor. "</w:t>
      </w:r>
      <w:hyperlink r:id="rId29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Coping with tragedies of the commons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Annual review of political science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2.1 (1999): 493-535.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*Epstein, G., J. Pittman, S. M. Alexander, S. Berdej, T.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Dyck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U.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Kreitmair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K. J.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Raithwell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S.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Villamayor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-Tomas, J. Vogt, and D. Armitage. 2015. </w:t>
      </w:r>
      <w:hyperlink r:id="rId30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Institutional fit and the sustainability of social–ecological systems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Current Opinion in Environmental Sustainability </w:t>
      </w: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14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:34-40.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Adger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W. Neil. 2003 “</w:t>
      </w:r>
      <w:hyperlink r:id="rId31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Social Capital, Collective Action, and Adaptation to Climate Change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Economic Geography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79 (4): 387-404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Henrich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 xml:space="preserve">, Joseph, R. Boyd, S. Bowles, C. </w:t>
      </w: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Camerer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 xml:space="preserve">, E. </w:t>
      </w: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Gehr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 xml:space="preserve">, H. </w:t>
      </w: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Gintis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 xml:space="preserve"> and r. </w:t>
      </w: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McElreath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. (2001) “</w:t>
      </w:r>
      <w:hyperlink r:id="rId32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In Search of Homo </w:t>
        </w:r>
        <w:proofErr w:type="spellStart"/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Economicus</w:t>
        </w:r>
        <w:proofErr w:type="spellEnd"/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: Behavioral Experiments in 15 Small-Scale Societies (Links to an external site.)Links to an external 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.” The   American Economic Review 91 (2): 73-78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Berkes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Fikret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"</w:t>
      </w:r>
      <w:hyperlink r:id="rId33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From community-based resource management to complex systems: the scale issue and marine commons."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Ecology and Society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11, no. 1 (2006): 45.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Ostrom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Elinor, Joanna Burger, Christopher B. Field, Richard B.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Norgaard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and David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Policansky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"</w:t>
      </w:r>
      <w:hyperlink r:id="rId34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Revisiting the commons: local lessons, global challenges (Links to an external site.)Links to an external </w:t>
        </w:r>
        <w:proofErr w:type="spell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Science</w:t>
      </w:r>
      <w:proofErr w:type="spell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284, no. 5412 (1999): 278-282.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Ostrom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, Elinor. (2000). “</w:t>
      </w:r>
      <w:hyperlink r:id="rId35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Collective Action and the Evolution of Social Norms (Links to an external site.)Links to an external 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.”  </w:t>
      </w:r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>Journal of          Economic Perspective </w:t>
      </w: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14 (3): 137-158.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Ostrom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Elinor, James Walker and Roy Gardner. (1992). “</w:t>
      </w:r>
      <w:hyperlink r:id="rId36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Covenants With and Without a Sword: Self-Governance is Possible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American Political Science Review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86 (2): 404-417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lastRenderedPageBreak/>
        <w:t>Toonen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Theo. "</w:t>
      </w:r>
      <w:hyperlink r:id="rId37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Resilience in public administration: The work of Elinor and Vincent </w:t>
        </w:r>
        <w:proofErr w:type="spell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Ostrom</w:t>
        </w:r>
        <w:proofErr w:type="spellEnd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 from a public administration perspective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Public Administration Review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70.2 (2010): 193-202.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Week 5 (Feb 5/7): Complex Adaptive Systems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*Levin, Simon A. "</w:t>
      </w:r>
      <w:hyperlink r:id="rId38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Ecosystems and the biosphere as complex adaptive systems.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Ecosystems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1, no. 5 (1998): 431-436.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*Lansing, J. Stephen. "</w:t>
      </w:r>
      <w:hyperlink r:id="rId39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Complex adaptive systems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Annual review of anthropology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(2003): 183-204.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Lubell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Mark. 2013. “</w:t>
      </w:r>
      <w:hyperlink r:id="rId40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Governing Institutional Complexity: The Ecology of Games Framework.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Policy Studies Journal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41 (3): 537–59.</w:t>
      </w:r>
    </w:p>
    <w:p w:rsidR="00956CD6" w:rsidRPr="00956CD6" w:rsidRDefault="00956CD6" w:rsidP="00956CD6">
      <w:pPr>
        <w:shd w:val="clear" w:color="auto" w:fill="FFFFFF"/>
        <w:spacing w:after="0" w:line="240" w:lineRule="auto"/>
        <w:ind w:hanging="480"/>
        <w:rPr>
          <w:rFonts w:ascii="Calibri" w:eastAsia="Times New Roman" w:hAnsi="Calibri" w:cs="Calibri"/>
          <w:color w:val="212121"/>
        </w:rPr>
      </w:pP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*Liu, </w:t>
      </w: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Jianguo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, Thomas Dietz, Stephen R. Carpenter, Marina </w:t>
      </w: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Alberti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, Carl </w:t>
      </w: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Folke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, Emilio Moran, Alice N. Pell, et al. 2007. “Complexity of Coupled Human and Natural Systems.” </w:t>
      </w:r>
      <w:r w:rsidRPr="00956CD6">
        <w:rPr>
          <w:rFonts w:ascii="LatoWeb" w:eastAsia="Times New Roman" w:hAnsi="LatoWeb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Science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 317 (5844): 1513.</w:t>
      </w:r>
      <w:hyperlink r:id="rId41" w:tgtFrame="_blank" w:history="1">
        <w:r w:rsidRPr="00956CD6">
          <w:rPr>
            <w:rFonts w:ascii="LatoWeb" w:eastAsia="Times New Roman" w:hAnsi="LatoWeb" w:cs="Calibr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https://doi.org/10.1126/science.1144004 (Links to an external site.)Links to an external site.</w:t>
        </w:r>
      </w:hyperlink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.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Ostrom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, Elinor. (2010). “</w:t>
      </w:r>
      <w:hyperlink r:id="rId42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Polycentric Systems for Coping with Collective Action and Global</w:t>
        </w:r>
        <w:proofErr w:type="gramStart"/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  Environmental</w:t>
        </w:r>
        <w:proofErr w:type="gramEnd"/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 Change (Links to an external site.)Links to an external 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.”  </w:t>
      </w:r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 </w:t>
      </w: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20 (4): 550-557.</w:t>
      </w:r>
    </w:p>
    <w:p w:rsidR="00956CD6" w:rsidRPr="00956CD6" w:rsidRDefault="00956CD6" w:rsidP="0095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Preiser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, Rika, </w:t>
      </w: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Reinette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 Biggs, Alta De </w:t>
      </w: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Vos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, and Carl </w:t>
      </w: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Folke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 xml:space="preserve"> 2018</w:t>
      </w:r>
    </w:p>
    <w:p w:rsidR="00956CD6" w:rsidRPr="00956CD6" w:rsidRDefault="00956CD6" w:rsidP="0095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Social-Ecological Systems as Complex Adaptive Systems: Organizing Principles for Advancing Research Methods and Approaches. Ecology and Society 23(4).</w:t>
      </w:r>
      <w:hyperlink r:id="rId43" w:tgtFrame="_blank" w:history="1">
        <w:r w:rsidRPr="00956CD6">
          <w:rPr>
            <w:rFonts w:ascii="LatoWeb" w:eastAsia="Times New Roman" w:hAnsi="LatoWeb" w:cs="Calibr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https://www.ecologyandsociety.org/vol23/iss4/art46/ (Links to an external site.)Links to an external site.</w:t>
        </w:r>
      </w:hyperlink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.</w:t>
      </w:r>
    </w:p>
    <w:p w:rsidR="00956CD6" w:rsidRPr="00956CD6" w:rsidRDefault="00956CD6" w:rsidP="0095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spellStart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Cairney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, Paul. "</w:t>
      </w:r>
      <w:hyperlink r:id="rId44" w:tgtFrame="_blank" w:history="1">
        <w:r w:rsidRPr="00956CD6">
          <w:rPr>
            <w:rFonts w:ascii="LatoWeb" w:eastAsia="Times New Roman" w:hAnsi="LatoWeb" w:cs="Calibr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Complexity theory in political science and public policy (Links to an external site.)Links to an external site.</w:t>
        </w:r>
      </w:hyperlink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LatoWeb" w:eastAsia="Times New Roman" w:hAnsi="LatoWeb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Political Studies Review</w:t>
      </w: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 10, no. 3 (2012): 346-358</w:t>
      </w:r>
    </w:p>
    <w:p w:rsidR="00956CD6" w:rsidRPr="00956CD6" w:rsidRDefault="00956CD6" w:rsidP="0095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Arrow, Kenneth J., Paul R. Ehrlich, and Simon A. Levin. "</w:t>
      </w:r>
      <w:hyperlink r:id="rId45" w:tgtFrame="_blank" w:history="1">
        <w:r w:rsidRPr="00956CD6">
          <w:rPr>
            <w:rFonts w:ascii="LatoWeb" w:eastAsia="Times New Roman" w:hAnsi="LatoWeb" w:cs="Calibr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Some Perspectives on Linked Ecosystems and Socio-Economic Systems. (Links to an external site.)Links to an external site.</w:t>
        </w:r>
      </w:hyperlink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Environment and Development Economics: Essays in </w:t>
      </w:r>
      <w:proofErr w:type="spellStart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Honour</w:t>
      </w:r>
      <w:proofErr w:type="spell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 of Sir </w:t>
      </w:r>
      <w:proofErr w:type="spellStart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Partha</w:t>
      </w:r>
      <w:proofErr w:type="spell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Dasgupta</w:t>
      </w:r>
      <w:proofErr w:type="spellEnd"/>
      <w:r w:rsidRPr="00956CD6">
        <w:rPr>
          <w:rFonts w:ascii="LatoWeb" w:eastAsia="Times New Roman" w:hAnsi="LatoWeb" w:cs="Calibri"/>
          <w:color w:val="212121"/>
          <w:sz w:val="24"/>
          <w:szCs w:val="24"/>
          <w:bdr w:val="none" w:sz="0" w:space="0" w:color="auto" w:frame="1"/>
          <w:lang w:val="en"/>
        </w:rPr>
        <w:t> (2014): 95.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Levin, Simon A., Scott Barrett, Sara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Aniyar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William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Baumol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Christopher Bliss, Bert Bolin,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Partha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Dasgupta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et al. "</w:t>
      </w:r>
      <w:hyperlink r:id="rId46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Resilience in natural and socioeconomic systems."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Environment and development economics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3, no. 02 (1998): 221-262.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Levin, Simon. "</w:t>
      </w:r>
      <w:hyperlink r:id="rId47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Complex adaptive systems and the challenge of sustainability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Toward a Science of Sustainability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(2010): 129.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lastRenderedPageBreak/>
        <w:t>(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math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models!) Levin, Simon. "</w:t>
      </w:r>
      <w:hyperlink r:id="rId48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Complex adaptive systems: exploring the known, the unknown and the unknowable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Bulletin of the American Mathematical Society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40, no. 1 (2003): 3-19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(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math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models!) Lade, Steven J., Alessandro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Tavoni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Simon A. Levin, and Maja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Schlüter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"</w:t>
      </w:r>
      <w:hyperlink r:id="rId49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Regime shifts in a social-ecological system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Theoretical ecology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6, no. 3 (2013): 359-372.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Week 6 (February 12/14):  Human Decision-making and Environment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*Simon, Herbert A. (1985) “</w:t>
      </w:r>
      <w:hyperlink r:id="rId50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Human Nature in Politics: The Dialogue of Psychology with Political Science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The American Political Science Review,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79 (2): 293-304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Tversky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A., &amp;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Kahneman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D. (1974, September). </w:t>
      </w:r>
      <w:hyperlink r:id="rId51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Judgment under uncertainty: Heuristics and biases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Science, 185, 1124-1131.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Gigerenzer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G., Goldstein, D. (1996). “</w:t>
      </w:r>
      <w:hyperlink r:id="rId52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Reasoning the Fast and Frugal Way: Models of Bounded Rationality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.”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Psycholological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Review, 103(4): 650-669.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(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this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is a good summary of prospect theory)Christopher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Trepel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Craig R. Fox, Russell A.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Poldrack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 </w:t>
      </w:r>
      <w:hyperlink r:id="rId53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Prospect theory on the brain? Toward a cognitive neuroscience of decision under risk,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Cognitive Brain Research, Volume 23, Issue 1, April 2005, Pages 34-50.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Simon, H. (1972). “</w:t>
      </w:r>
      <w:hyperlink r:id="rId54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Theories of Bounded Rationality (Links to an external site.)Links to an external 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>Decision and Organization</w:t>
      </w: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 Chapter 8: 161-176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Gigerenzer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G.,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Hoffrage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U. (1995). “</w:t>
      </w:r>
      <w:hyperlink r:id="rId55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How to Improve Bayesian Reasoning without Instruction: Frequency Formats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Psychological Review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102 (4): 684-704.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Kahneman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Daniel. 2003. "</w:t>
      </w:r>
      <w:hyperlink r:id="rId56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Maps of Bounded Rationality: Psychology for Behavioral Economics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The American Economic Review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93 (5): 1449-1475.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Kahneman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D. (2003) “</w:t>
      </w:r>
      <w:hyperlink r:id="rId57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 Perspective on Judgment and Choice: Mapping Bounded Rationality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 American Psychologist, 58 (9): 697-720.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Lempert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Robert J., David G. Groves, Steven W. Popper, and Steve C.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Bankes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"</w:t>
      </w:r>
      <w:hyperlink r:id="rId58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 general, analytic method for generating robust strategies and narrative scenarios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Management science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52, no. 4 (2006): 514-528.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lastRenderedPageBreak/>
        <w:t>Lempert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Robert J., and David G. Groves. "</w:t>
      </w:r>
      <w:hyperlink r:id="rId59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Identifying and evaluating robust adaptive policy responses to climate change for water management agencies in the American west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Technological Forecasting and Social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77.6 (2010): 960-974.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Groves, David G., and Robert J.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Lempert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"</w:t>
      </w:r>
      <w:hyperlink r:id="rId60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 new analytic method for finding policy-relevant scenarios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17.1 (2007): 73-85.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Week 7 (February 19/21): Linking Science to Policy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*Haas, P. (1989). “</w:t>
      </w:r>
      <w:hyperlink r:id="rId61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Do Regimes Matter? Epistemic Communities and Mediterranean Pollution Control. (Links to an external site.)Links to an external 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”  </w:t>
      </w:r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>International Organization </w:t>
      </w: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43(3): 377-403.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Guston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, David (2001). “</w:t>
      </w:r>
      <w:hyperlink r:id="rId62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Boundary Organizations in Environmental Policy and Science: An Introduction. (Links to an external site.)Links to an external 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” </w:t>
      </w:r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>Science Technology, &amp; Human Values</w:t>
      </w: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 26(4): 399-408.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*Newman, Joshua, Adrian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Cherney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and Brian W. Head. 2016. “</w:t>
      </w:r>
      <w:hyperlink r:id="rId63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Do Policy Makers Use Academic Research? Reexamining the ‘Two Communities’ Theory of Research Utilization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Public Administration Review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76 (1): 24–32. doi:10.1111/puar.12464.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*Heikkila, Tanya, and Andrea K.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Gerlak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"</w:t>
      </w:r>
      <w:hyperlink r:id="rId64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Building a conceptual approach to collective learning: lessons for public policy scholars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Policy Studies Journal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41, no. 3 (2013): 484-512.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Gerlak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Andrea K., and Tanya Heikkila. "</w:t>
      </w:r>
      <w:hyperlink r:id="rId65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Building a theory of learning in </w:t>
        </w:r>
        <w:proofErr w:type="spell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collaboratives</w:t>
        </w:r>
        <w:proofErr w:type="spellEnd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: Evidence from the Everglades Restoration Program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Journal of Public Administration Research and Theory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(2011): muq089.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Young, O. R. 2008. </w:t>
      </w:r>
      <w:hyperlink r:id="rId66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 architecture of global environmental governance: bringing science to bear on policy.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Politics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8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:14-32.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Crona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, B., &amp; Parker, J. (2012). “</w:t>
      </w:r>
      <w:hyperlink r:id="rId67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Learning in Support of Governance: Theories, Methods, and a Framework to Assess How Bridging Organizations Contribute to Adaptive Resource Governance. (Links to an external site.)Links to an external 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” </w:t>
      </w:r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Ecology and Society</w:t>
      </w: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 17(1):32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Policansky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David.  (1998). “</w:t>
      </w:r>
      <w:hyperlink r:id="rId68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Science and Decision Making for Water Resources (in Invited Feature: Freshwater Systems)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Ecological Applications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8(3):  610-618.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Haas, P. (2004). “</w:t>
      </w:r>
      <w:hyperlink r:id="rId69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When Does Power Listen to Truth? A Constructivist Approach to the Policy Process.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Journal of European Public Policy 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11(4): 569-592.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lastRenderedPageBreak/>
        <w:t>Sarewitz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 xml:space="preserve">, D. </w:t>
      </w: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Pielke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, R. (2007). “</w:t>
      </w:r>
      <w:hyperlink r:id="rId70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 Neglected Heart of Science Policy: Reconciling Supply of and Demand for Science (Links to an external site.)Links to an external 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Environmental Science and </w:t>
      </w:r>
      <w:proofErr w:type="gramStart"/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>Policy</w:t>
      </w: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10(</w:t>
      </w:r>
      <w:proofErr w:type="gram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1): 5-16.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Jasanoff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, S. (2008). “</w:t>
      </w:r>
      <w:hyperlink r:id="rId71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Speaking Honestly to Power (Links to an external site.)Links to an external 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>American Scientist,</w:t>
      </w: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 Book Review.</w:t>
      </w:r>
    </w:p>
    <w:p w:rsidR="00956CD6" w:rsidRPr="00956CD6" w:rsidRDefault="00956CD6" w:rsidP="00956CD6">
      <w:pPr>
        <w:shd w:val="clear" w:color="auto" w:fill="FFFFFF"/>
        <w:spacing w:after="0" w:line="240" w:lineRule="auto"/>
        <w:outlineLvl w:val="2"/>
        <w:rPr>
          <w:rFonts w:ascii="LatoWeb" w:eastAsia="Times New Roman" w:hAnsi="LatoWeb" w:cs="Times New Roman"/>
          <w:color w:val="212121"/>
          <w:sz w:val="36"/>
          <w:szCs w:val="36"/>
        </w:rPr>
      </w:pP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Agrawala</w:t>
      </w:r>
      <w:proofErr w:type="gram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,S</w:t>
      </w:r>
      <w:proofErr w:type="spellEnd"/>
      <w:proofErr w:type="gram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 xml:space="preserve">., Broad, K., &amp; </w:t>
      </w:r>
      <w:proofErr w:type="spellStart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Guston</w:t>
      </w:r>
      <w:proofErr w:type="spellEnd"/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, D. “</w:t>
      </w:r>
      <w:hyperlink r:id="rId72" w:tgtFrame="_blank" w:history="1"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Integrating Climate Forecasts and Societal Decision Making: challenges to an Emergent Boundary Organization (Links to an external site.)Links to an external </w:t>
        </w:r>
        <w:proofErr w:type="spellStart"/>
        <w:r w:rsidRPr="00956CD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site.</w:t>
        </w:r>
      </w:hyperlink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.”</w:t>
      </w:r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>Science</w:t>
      </w:r>
      <w:proofErr w:type="spellEnd"/>
      <w:r w:rsidRPr="00956CD6">
        <w:rPr>
          <w:rFonts w:ascii="LatoWeb" w:eastAsia="Times New Roman" w:hAnsi="LatoWeb" w:cs="Times New Roman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 Technology, &amp; Human Values </w:t>
      </w:r>
      <w:r w:rsidRPr="00956CD6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lang w:val="en"/>
        </w:rPr>
        <w:t>26(4): 454-477.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Singh, G. G., Tam, J., Sisk, T. D.,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Klain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S. C., Mach, M. E.,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Martone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R. G., &amp; Chan, K. M. A. (2014). </w:t>
      </w:r>
      <w:hyperlink r:id="rId73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 more social science: barriers and incentives for scientists engaging in policy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Frontiers in Ecology and the Environment, 12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(3), 161-166. </w:t>
      </w:r>
      <w:proofErr w:type="spellStart"/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doi</w:t>
      </w:r>
      <w:proofErr w:type="spellEnd"/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: 10.1890/130011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Week 8 (February 26/28):  Networks in SES Systems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Berardo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R.,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Scholz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J. (2010). “</w:t>
      </w:r>
      <w:hyperlink r:id="rId74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Self-Organizing Policy Networks: Risk, Partner Selection, and Cooperation in Estuaries.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American Journal of Political Science</w:t>
      </w:r>
      <w:proofErr w:type="gramStart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,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54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(3): 632-649.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*Schneider, M.,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 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Scholz</w:t>
      </w:r>
      <w:proofErr w:type="spellEnd"/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J.,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Lubell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M., (2003) “</w:t>
      </w:r>
      <w:hyperlink r:id="rId75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Building Consensual Institutions: Networks and the National Estuary Program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American Journal of Political Science, 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47(1): 143-158.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*Janssen, M.A.,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Bodin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Ö.,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 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Anderies</w:t>
      </w:r>
      <w:proofErr w:type="spellEnd"/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J.,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Elmqvist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T.,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Ernstson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H., McAllister, R., Olsson, P., &amp; Ryan, P. (2006) “</w:t>
      </w:r>
      <w:hyperlink r:id="rId76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Toward a Network Perspective of the Study of Resilience in Social-Ecological Systems (Links to an external site.)Links to an external site.</w:t>
        </w:r>
      </w:hyperlink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”,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Ecology and Society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11(1): 15.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Bodin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Ö.,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&amp;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Crona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B. (2009) “</w:t>
      </w:r>
      <w:hyperlink r:id="rId77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 Role of Social Networks in Natural Resource Governance: What Relational Patterns Make a Difference?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Change,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19(3): 366-374.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Bodin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Ö.,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&amp;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Tengö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M. (2012) “</w:t>
      </w:r>
      <w:hyperlink r:id="rId78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Disentangling Intangible Social-ecological Systems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 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22(2): 430-439.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Bodin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Örjan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Annica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Sandström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and Beatrice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Crona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"</w:t>
      </w:r>
      <w:hyperlink r:id="rId79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Collaborative Networks for Effective Ecosystem‐Based Management: A Set of Working Hypotheses (Links to an external site.)Links to an external </w:t>
        </w:r>
        <w:proofErr w:type="spell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Policy</w:t>
      </w:r>
      <w:proofErr w:type="spell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 Studies Journal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(2016).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80" w:tgtFrame="_blank" w:history="1">
        <w:proofErr w:type="spell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Bodin</w:t>
        </w:r>
        <w:proofErr w:type="spellEnd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 (Links to an external site.)Links to an external </w:t>
        </w:r>
        <w:proofErr w:type="gram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Ö.,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Crona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B., &amp; 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fldChar w:fldCharType="begin"/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instrText xml:space="preserve"> HYPERLINK "http://scholar.google.com/citations?user=QPvBASUAAAAJ&amp;hl=en&amp;oi=sra" \t "_blank" </w:instrTex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fldChar w:fldCharType="separate"/>
      </w:r>
      <w:r w:rsidRPr="00956CD6">
        <w:rPr>
          <w:rFonts w:ascii="LatoWeb" w:eastAsia="Times New Roman" w:hAnsi="LatoWeb" w:cs="Segoe UI"/>
          <w:color w:val="0000FF"/>
          <w:sz w:val="24"/>
          <w:szCs w:val="24"/>
          <w:u w:val="single"/>
          <w:bdr w:val="none" w:sz="0" w:space="0" w:color="auto" w:frame="1"/>
          <w:lang w:val="en"/>
        </w:rPr>
        <w:t>Ernstson</w:t>
      </w:r>
      <w:proofErr w:type="spellEnd"/>
      <w:r w:rsidRPr="00956CD6">
        <w:rPr>
          <w:rFonts w:ascii="LatoWeb" w:eastAsia="Times New Roman" w:hAnsi="LatoWeb" w:cs="Segoe UI"/>
          <w:color w:val="0000FF"/>
          <w:sz w:val="24"/>
          <w:szCs w:val="24"/>
          <w:u w:val="single"/>
          <w:bdr w:val="none" w:sz="0" w:space="0" w:color="auto" w:frame="1"/>
          <w:lang w:val="en"/>
        </w:rPr>
        <w:t xml:space="preserve"> (Links to an external site.)Links to an external </w:t>
      </w:r>
      <w:proofErr w:type="gramStart"/>
      <w:r w:rsidRPr="00956CD6">
        <w:rPr>
          <w:rFonts w:ascii="LatoWeb" w:eastAsia="Times New Roman" w:hAnsi="LatoWeb" w:cs="Segoe UI"/>
          <w:color w:val="0000FF"/>
          <w:sz w:val="24"/>
          <w:szCs w:val="24"/>
          <w:u w:val="single"/>
          <w:bdr w:val="none" w:sz="0" w:space="0" w:color="auto" w:frame="1"/>
          <w:lang w:val="en"/>
        </w:rPr>
        <w:t>site.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fldChar w:fldCharType="end"/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H. (2006). “</w:t>
      </w:r>
      <w:hyperlink r:id="rId81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Social Networks in Natural Resource Management: What is </w:t>
        </w:r>
        <w:proofErr w:type="gram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There</w:t>
        </w:r>
        <w:proofErr w:type="gramEnd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 to Learn from a Structural Perspective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Ecology and Society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11(2).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lastRenderedPageBreak/>
        <w:t>Crona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B., &amp;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Bodin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Ö. (2006) “What You Know is Who You Know?  Communication Patters 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Among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Resource Users as a Prerequisite for Co-management.”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Ecology and Society 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11(2): 7. </w:t>
      </w:r>
      <w:hyperlink r:id="rId82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[PDF] from ecologyandsociety.org (Links to an external site.)Links to an external site.</w:t>
        </w:r>
      </w:hyperlink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Treml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Eric A., et al. "</w:t>
      </w:r>
      <w:hyperlink r:id="rId83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Analyzing the (</w:t>
        </w:r>
        <w:proofErr w:type="spellStart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mis</w:t>
        </w:r>
        <w:proofErr w:type="spellEnd"/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) fit between the institutional and ecological networks of the Indo-West Pacific."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Global Environmental Change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31 (2015): 263-271.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Scheffer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M., Carpenter, S.,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Lenton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T., &amp;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Bascompte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J. (2012) “</w:t>
      </w:r>
      <w:hyperlink r:id="rId84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Anticipating Critical Transitions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Science 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338(6105): 344-348.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Scholz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J.,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Berardo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R.,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Kile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B. (2008). “</w:t>
      </w:r>
      <w:hyperlink r:id="rId85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Do Networks Solve Collective Action Problems? Credibility, Search, and Collaboration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Journal of Politics,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70 (2): 393-406.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 xml:space="preserve">Week 9 (March 5/7):  Cultural Evolution (Pete </w:t>
      </w:r>
      <w:proofErr w:type="spellStart"/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Richerson</w:t>
      </w:r>
      <w:proofErr w:type="spellEnd"/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 xml:space="preserve"> guest lecture)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hyperlink r:id="rId86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 cultural niche: Why social learning is essential for human adaptation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With </w:t>
      </w: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Robert Boyd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 and Joseph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Henrich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PNAS</w:t>
      </w:r>
      <w:proofErr w:type="gram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fldChar w:fldCharType="begin"/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instrText xml:space="preserve"> HYPERLINK "http://www.pnas.org/cgi/doi/10.1073/pnas.1100290108" \t "_blank" </w:instrTex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fldChar w:fldCharType="separate"/>
      </w:r>
      <w:r w:rsidRPr="00956CD6">
        <w:rPr>
          <w:rFonts w:ascii="LatoWeb" w:eastAsia="Times New Roman" w:hAnsi="LatoWeb" w:cs="Segoe UI"/>
          <w:color w:val="0000FF"/>
          <w:sz w:val="24"/>
          <w:szCs w:val="24"/>
          <w:u w:val="single"/>
          <w:bdr w:val="none" w:sz="0" w:space="0" w:color="auto" w:frame="1"/>
          <w:lang w:val="en"/>
        </w:rPr>
        <w:t xml:space="preserve">www.pnas.org/cgi/doi/10.1073/pnas.1100290108 (Links to an external site.)Links to an external </w:t>
      </w:r>
      <w:proofErr w:type="gramStart"/>
      <w:r w:rsidRPr="00956CD6">
        <w:rPr>
          <w:rFonts w:ascii="LatoWeb" w:eastAsia="Times New Roman" w:hAnsi="LatoWeb" w:cs="Segoe UI"/>
          <w:color w:val="0000FF"/>
          <w:sz w:val="24"/>
          <w:szCs w:val="24"/>
          <w:u w:val="single"/>
          <w:bdr w:val="none" w:sz="0" w:space="0" w:color="auto" w:frame="1"/>
          <w:lang w:val="en"/>
        </w:rPr>
        <w:t>site.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fldChar w:fldCharType="end"/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2011.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hyperlink r:id="rId87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Cultural group selection plays an essential role in explaining human cooperation: A sketch of the evidence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. With Ryan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Baldini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Adrian Bell,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Kathyrn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Demps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Karl Frost,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Vicken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 Hillis, Sarah Matthew, Emily Newton, Nicole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Narr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Lesley Newson, Cody Ross, Paul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Smaldino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Timothy Waring and Matthew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Zefferman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Open for Commentary in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Behavioral and Brain Sciences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hyperlink r:id="rId88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 Darwinian theory of human cultural evolution and gene-culture coevolution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With Robert Boyd.  Chapter 20 in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Evolution </w:t>
      </w:r>
      <w:proofErr w:type="gramStart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Since</w:t>
      </w:r>
      <w:proofErr w:type="gram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 Darwin: The First 150 Years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. M.A. Bell, D.J.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Futuyma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W.F.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Eanes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and J.S.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Levinton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(eds.)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Sinauer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pp. 561-588. 2010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</w:t>
      </w:r>
      <w:hyperlink r:id="rId89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Rethinking paleoanthropology: A world queerer than we supposed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 In press in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Evolution of Mind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Gary Hatfield, Editor. Penn Museum Conference Series.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Waring et al. 2015.  A multilevel evolutionary framework for sustainability analysis. Forthcoming,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Ecology and </w:t>
      </w:r>
      <w:proofErr w:type="gramStart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Society(</w:t>
      </w:r>
      <w:proofErr w:type="gram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see </w:t>
      </w:r>
      <w:proofErr w:type="spellStart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Smartsite</w:t>
      </w:r>
      <w:proofErr w:type="spell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)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90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Tribal social instincts and the cultural evolution of institutions to solve collective action problems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. With Joe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Henrich</w:t>
      </w:r>
      <w:proofErr w:type="spell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. </w:t>
      </w:r>
      <w:proofErr w:type="spellStart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Cliodynamics</w:t>
      </w:r>
      <w:proofErr w:type="spellEnd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 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3: 38–80. 2012.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 xml:space="preserve">Week </w:t>
      </w:r>
      <w:proofErr w:type="gramStart"/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10  (</w:t>
      </w:r>
      <w:proofErr w:type="gramEnd"/>
      <w:r w:rsidRPr="00956CD6">
        <w:rPr>
          <w:rFonts w:ascii="LatoWeb" w:eastAsia="Times New Roman" w:hAnsi="LatoWeb" w:cs="Segoe UI"/>
          <w:b/>
          <w:bCs/>
          <w:color w:val="212121"/>
          <w:sz w:val="24"/>
          <w:szCs w:val="24"/>
          <w:bdr w:val="none" w:sz="0" w:space="0" w:color="auto" w:frame="1"/>
          <w:lang w:val="en"/>
        </w:rPr>
        <w:t>March 12/14):  Collaborative Ecosystem Management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*R.E.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Grumbine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(1994). “</w:t>
      </w:r>
      <w:hyperlink r:id="rId91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What is Ecosystem Management?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Conservation Biology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8(1):  27-38.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lastRenderedPageBreak/>
        <w:t>*Derek R Armitage, et al. 2012.  </w:t>
      </w:r>
      <w:hyperlink r:id="rId92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Adaptive co-management for social–ecological complexity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Frontiers in Ecology and the Environment.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*Hearn, A. (2008). “</w:t>
      </w:r>
      <w:hyperlink r:id="rId93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The Rocky Path to Sustainable Fisheries Management and Conservation in the Galápagos Marine Reserve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 xml:space="preserve">Ocean &amp; Coastal </w:t>
      </w:r>
      <w:proofErr w:type="gramStart"/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Management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51(</w:t>
      </w:r>
      <w:proofErr w:type="gram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8-9): 567-574.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 Levin, Simon A., and Jane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Lubchenco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 "</w:t>
      </w:r>
      <w:hyperlink r:id="rId94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Resilience, robustness, and marine ecosystem-based management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Bioscience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58.1 (2008): 27-32.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Frontiers in Ecology and the Environment 2009 7:2, 95-102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Yaffee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S.L.  (1999). “</w:t>
      </w:r>
      <w:hyperlink r:id="rId95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Three Faces of Ecosystem Management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.”  </w:t>
      </w:r>
      <w:r w:rsidRPr="00956CD6">
        <w:rPr>
          <w:rFonts w:ascii="Calibri" w:eastAsia="Times New Roman" w:hAnsi="Calibri" w:cs="Calibri"/>
          <w:i/>
          <w:iCs/>
          <w:color w:val="212121"/>
          <w:sz w:val="24"/>
          <w:szCs w:val="24"/>
          <w:bdr w:val="none" w:sz="0" w:space="0" w:color="auto" w:frame="1"/>
          <w:lang w:val="en"/>
        </w:rPr>
        <w:t>Conservation Biology</w:t>
      </w:r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 13(4): 713-725.</w:t>
      </w:r>
    </w:p>
    <w:p w:rsidR="00956CD6" w:rsidRPr="00956CD6" w:rsidRDefault="00956CD6" w:rsidP="00956CD6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Endter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-Wada, Joanna, Dale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Blahna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 xml:space="preserve">, Richard </w:t>
      </w:r>
      <w:proofErr w:type="spellStart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Krannich</w:t>
      </w:r>
      <w:proofErr w:type="spellEnd"/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, and Mark Brunson. "</w:t>
      </w:r>
      <w:hyperlink r:id="rId96" w:tgtFrame="_blank" w:history="1">
        <w:r w:rsidRPr="00956CD6">
          <w:rPr>
            <w:rFonts w:ascii="LatoWeb" w:eastAsia="Times New Roman" w:hAnsi="LatoWeb" w:cs="Segoe UI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A framework for understanding social science contributions to ecosystem management (Links to an external site.)Links to an external site.</w:t>
        </w:r>
      </w:hyperlink>
      <w:r w:rsidRPr="00956CD6">
        <w:rPr>
          <w:rFonts w:ascii="LatoWeb" w:eastAsia="Times New Roman" w:hAnsi="LatoWeb" w:cs="Segoe UI"/>
          <w:color w:val="212121"/>
          <w:sz w:val="24"/>
          <w:szCs w:val="24"/>
          <w:bdr w:val="none" w:sz="0" w:space="0" w:color="auto" w:frame="1"/>
          <w:lang w:val="en"/>
        </w:rPr>
        <w:t>." Ecological Applications 8, no. 3 (1998): 891-904.</w:t>
      </w:r>
    </w:p>
    <w:p w:rsidR="00956CD6" w:rsidRDefault="00956CD6"/>
    <w:sectPr w:rsidR="0095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6"/>
    <w:rsid w:val="00956CD6"/>
    <w:rsid w:val="009B369C"/>
    <w:rsid w:val="00B21F10"/>
    <w:rsid w:val="00B501D6"/>
    <w:rsid w:val="00D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CD8BE-92B1-4105-A806-26BE2A78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6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6CD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andfonline.com/doi/abs/10.1080/08941920.2014.901467" TargetMode="External"/><Relationship Id="rId21" Type="http://schemas.openxmlformats.org/officeDocument/2006/relationships/hyperlink" Target="https://www.sciencedirect.com/science/article/pii/S0959378006000409" TargetMode="External"/><Relationship Id="rId42" Type="http://schemas.openxmlformats.org/officeDocument/2006/relationships/hyperlink" Target="http://citeseerx.ist.psu.edu/viewdoc/download?doi=10.1.1.453.6169&amp;rep=rep1&amp;type=pdf" TargetMode="External"/><Relationship Id="rId47" Type="http://schemas.openxmlformats.org/officeDocument/2006/relationships/hyperlink" Target="http://leml.la.asu.edu/chess/uploads/papers/keypapers/Levin-2010-TSS.pdf" TargetMode="External"/><Relationship Id="rId63" Type="http://schemas.openxmlformats.org/officeDocument/2006/relationships/hyperlink" Target="http://onlinelibrary.wiley.com/doi/10.1111/puar.12464/abstract" TargetMode="External"/><Relationship Id="rId68" Type="http://schemas.openxmlformats.org/officeDocument/2006/relationships/hyperlink" Target="http://www.esajournals.org/doi/abs/10.1890/1051-0761(1998)008%5B0610:SADMFW%5D2.0.CO%3B2" TargetMode="External"/><Relationship Id="rId84" Type="http://schemas.openxmlformats.org/officeDocument/2006/relationships/hyperlink" Target="http://www.sciencemag.org/content/338/6105/344.full" TargetMode="External"/><Relationship Id="rId89" Type="http://schemas.openxmlformats.org/officeDocument/2006/relationships/hyperlink" Target="http://www.des.ucdavis.edu/faculty/Richerson/Climatewasstrange.pdf" TargetMode="External"/><Relationship Id="rId16" Type="http://schemas.openxmlformats.org/officeDocument/2006/relationships/hyperlink" Target="http://www.sciencedirect.com/science/article/pii/S0959378006000410" TargetMode="External"/><Relationship Id="rId11" Type="http://schemas.openxmlformats.org/officeDocument/2006/relationships/hyperlink" Target="http://www.ecologyandsociety.org/vol18/iss4/art26/ES-2013-5551.pdf" TargetMode="External"/><Relationship Id="rId32" Type="http://schemas.openxmlformats.org/officeDocument/2006/relationships/hyperlink" Target="http://www.jstor.org/stable/10.2307/2677736" TargetMode="External"/><Relationship Id="rId37" Type="http://schemas.openxmlformats.org/officeDocument/2006/relationships/hyperlink" Target="http://onlinelibrary.wiley.com/doi/10.1111/j.1540-6210.2010.02147.x/full" TargetMode="External"/><Relationship Id="rId53" Type="http://schemas.openxmlformats.org/officeDocument/2006/relationships/hyperlink" Target="http://www.sciencedirect.com/science/article/pii/S0926641005000182" TargetMode="External"/><Relationship Id="rId58" Type="http://schemas.openxmlformats.org/officeDocument/2006/relationships/hyperlink" Target="http://pubsonline.informs.org/doi/pdf/10.1287/mnsc.1050.0472" TargetMode="External"/><Relationship Id="rId74" Type="http://schemas.openxmlformats.org/officeDocument/2006/relationships/hyperlink" Target="http://www.watergovernance.net/documents/Berardo_Scholz_AJPS.pdf" TargetMode="External"/><Relationship Id="rId79" Type="http://schemas.openxmlformats.org/officeDocument/2006/relationships/hyperlink" Target="http://onlinelibrary.wiley.com/doi/10.1111/psj.12146/full" TargetMode="External"/><Relationship Id="rId5" Type="http://schemas.openxmlformats.org/officeDocument/2006/relationships/hyperlink" Target="http://www.sciencemag.org/content/325/5939/419.short" TargetMode="External"/><Relationship Id="rId90" Type="http://schemas.openxmlformats.org/officeDocument/2006/relationships/hyperlink" Target="http://www.des.ucdavis.edu/faculty/Richerson/Tribal%20social%20instincts%20cliodynamics.pdf" TargetMode="External"/><Relationship Id="rId95" Type="http://schemas.openxmlformats.org/officeDocument/2006/relationships/hyperlink" Target="http://onlinelibrary.wiley.com/doi/10.1046/j.1523-1739.1999.98127.x/abstract" TargetMode="External"/><Relationship Id="rId22" Type="http://schemas.openxmlformats.org/officeDocument/2006/relationships/hyperlink" Target="http://www.jstor.org/stable/10.2307/221739" TargetMode="External"/><Relationship Id="rId27" Type="http://schemas.openxmlformats.org/officeDocument/2006/relationships/hyperlink" Target="https://www.pnas.org/content/100/14/8080.short" TargetMode="External"/><Relationship Id="rId43" Type="http://schemas.openxmlformats.org/officeDocument/2006/relationships/hyperlink" Target="https://www.ecologyandsociety.org/vol23/iss4/art46/" TargetMode="External"/><Relationship Id="rId48" Type="http://schemas.openxmlformats.org/officeDocument/2006/relationships/hyperlink" Target="http://www.ams.org/bull/2003-40-01/S0273-0979-02-00965-5/S0273-0979-02-00965-5.pdf" TargetMode="External"/><Relationship Id="rId64" Type="http://schemas.openxmlformats.org/officeDocument/2006/relationships/hyperlink" Target="http://onlinelibrary.wiley.com/doi/10.1111/psj.12026/full" TargetMode="External"/><Relationship Id="rId69" Type="http://schemas.openxmlformats.org/officeDocument/2006/relationships/hyperlink" Target="http://www.tandfonline.com/doi/abs/10.1080/1350176042000248034" TargetMode="External"/><Relationship Id="rId80" Type="http://schemas.openxmlformats.org/officeDocument/2006/relationships/hyperlink" Target="http://scholar.google.com/citations?user=8JCigasAAAAJ&amp;hl=en&amp;oi=sra" TargetMode="External"/><Relationship Id="rId85" Type="http://schemas.openxmlformats.org/officeDocument/2006/relationships/hyperlink" Target="http://journals.cambridge.org/action/displayFulltext?type=1&amp;fid=1818136&amp;jid=JOP&amp;volumeId=70&amp;issueId=02&amp;aid=18181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searchgate.net/profile/Bing_Wang46/publication/271639112_An_overview_of_climate_change_vulnerability_A_bibliometric_analysis_based_on_Web_of_Science_database/links/5548bd230cf27c50006680cb.pdf" TargetMode="External"/><Relationship Id="rId17" Type="http://schemas.openxmlformats.org/officeDocument/2006/relationships/hyperlink" Target="http://www.sciencedirect.com/science/article/pii/S0959378004000913" TargetMode="External"/><Relationship Id="rId25" Type="http://schemas.openxmlformats.org/officeDocument/2006/relationships/hyperlink" Target="http://www.ecologyandsociety.org/vol11/iss1/art19/" TargetMode="External"/><Relationship Id="rId33" Type="http://schemas.openxmlformats.org/officeDocument/2006/relationships/hyperlink" Target="http://dlc.dlib.indiana.edu/dlc/bitstream/handle/10535/3066/from_community-based.pdf?sequence=1" TargetMode="External"/><Relationship Id="rId38" Type="http://schemas.openxmlformats.org/officeDocument/2006/relationships/hyperlink" Target="https://link.springer.com/article/10.1007/s100219900037" TargetMode="External"/><Relationship Id="rId46" Type="http://schemas.openxmlformats.org/officeDocument/2006/relationships/hyperlink" Target="http://journals.cambridge.org/action/displayAbstract?fromPage=online&amp;aid=69610&amp;fileId=S1355770X98240125" TargetMode="External"/><Relationship Id="rId59" Type="http://schemas.openxmlformats.org/officeDocument/2006/relationships/hyperlink" Target="http://www.sciencedirect.com/science/article/pii/S0040162510000740" TargetMode="External"/><Relationship Id="rId67" Type="http://schemas.openxmlformats.org/officeDocument/2006/relationships/hyperlink" Target="http://dlc.dlib.indiana.edu/dlc/bitstream/handle/10535/8172/ES-2011-4534.pdf?sequence=1" TargetMode="External"/><Relationship Id="rId20" Type="http://schemas.openxmlformats.org/officeDocument/2006/relationships/hyperlink" Target="http://link.springer.com/article/10.1007/s10584-013-0917-y" TargetMode="External"/><Relationship Id="rId41" Type="http://schemas.openxmlformats.org/officeDocument/2006/relationships/hyperlink" Target="https://doi.org/10.1126/science.1144004" TargetMode="External"/><Relationship Id="rId54" Type="http://schemas.openxmlformats.org/officeDocument/2006/relationships/hyperlink" Target="http://innovbfa.viabloga.com/files/Herbert_Simon___theories_of_bounded_rationality___1972.pdf" TargetMode="External"/><Relationship Id="rId62" Type="http://schemas.openxmlformats.org/officeDocument/2006/relationships/hyperlink" Target="http://www.jstor.org/stable/690161?seq=2" TargetMode="External"/><Relationship Id="rId70" Type="http://schemas.openxmlformats.org/officeDocument/2006/relationships/hyperlink" Target="http://www.sciencedirect.com/science/article/pii/S1462901106001183" TargetMode="External"/><Relationship Id="rId75" Type="http://schemas.openxmlformats.org/officeDocument/2006/relationships/hyperlink" Target="http://onlinelibrary.wiley.com/doi/10.1111/1540-5907.00010/pdf" TargetMode="External"/><Relationship Id="rId83" Type="http://schemas.openxmlformats.org/officeDocument/2006/relationships/hyperlink" Target="http://pedrofidelman.com/pdf/Treml_et_al.2015.AnalysingTheMisfitBetweenInstAndEcolNetworks.pdf" TargetMode="External"/><Relationship Id="rId88" Type="http://schemas.openxmlformats.org/officeDocument/2006/relationships/hyperlink" Target="http://www.des.ucdavis.edu/faculty/Richerson/Cultural%20EvolutionDarwins150FinalMS%20version.pdf" TargetMode="External"/><Relationship Id="rId91" Type="http://schemas.openxmlformats.org/officeDocument/2006/relationships/hyperlink" Target="http://onlinelibrary.wiley.com/doi/10.1046/j.1523-1739.1994.08010027.x/abstract" TargetMode="External"/><Relationship Id="rId96" Type="http://schemas.openxmlformats.org/officeDocument/2006/relationships/hyperlink" Target="http://www.esajournals.org/doi/abs/10.1890/1051-0761%281998%29008%5B0891:AFFUSS%5D2.0.CO%3B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commonsjournal.org/index.php/ijc/article/view/371/331" TargetMode="External"/><Relationship Id="rId15" Type="http://schemas.openxmlformats.org/officeDocument/2006/relationships/hyperlink" Target="http://www.sciencedirect.com/science/article/pii/S0959378006000422" TargetMode="External"/><Relationship Id="rId23" Type="http://schemas.openxmlformats.org/officeDocument/2006/relationships/hyperlink" Target="http://www.jstor.org/stable/10.2307/2096802" TargetMode="External"/><Relationship Id="rId28" Type="http://schemas.openxmlformats.org/officeDocument/2006/relationships/hyperlink" Target="http://www.sciencedirect.com/science/article/pii/S0959378011000203" TargetMode="External"/><Relationship Id="rId36" Type="http://schemas.openxmlformats.org/officeDocument/2006/relationships/hyperlink" Target="http://www.jstor.org/stable/10.2307/1964229" TargetMode="External"/><Relationship Id="rId49" Type="http://schemas.openxmlformats.org/officeDocument/2006/relationships/hyperlink" Target="https://www.princeton.edu/~slevin/PDF/Levinpubs/PDFWEB2013/497_LadeRegime_2013.pdf" TargetMode="External"/><Relationship Id="rId57" Type="http://schemas.openxmlformats.org/officeDocument/2006/relationships/hyperlink" Target="http://pages.pomona.edu/~rt004747/lgcs11read/Kahneman03.pdf" TargetMode="External"/><Relationship Id="rId10" Type="http://schemas.openxmlformats.org/officeDocument/2006/relationships/hyperlink" Target="http://www.sciencedirect.com/science/article/pii/S0959378006000367" TargetMode="External"/><Relationship Id="rId31" Type="http://schemas.openxmlformats.org/officeDocument/2006/relationships/hyperlink" Target="http://onlinelibrary.wiley.com/doi/10.1111/j.1944-8287.2003.tb00220.x/abstract" TargetMode="External"/><Relationship Id="rId44" Type="http://schemas.openxmlformats.org/officeDocument/2006/relationships/hyperlink" Target="https://journals.sagepub.com/doi/abs/10.1111/j.1478-9302.2012.00270.x" TargetMode="External"/><Relationship Id="rId52" Type="http://schemas.openxmlformats.org/officeDocument/2006/relationships/hyperlink" Target="http://psy2.ucsd.edu/~mckenzie/GigerenzerGoldsteinPsychReview1996.pdf" TargetMode="External"/><Relationship Id="rId60" Type="http://schemas.openxmlformats.org/officeDocument/2006/relationships/hyperlink" Target="http://www.sciencedirect.com/science/article/pii/S0959378006000896" TargetMode="External"/><Relationship Id="rId65" Type="http://schemas.openxmlformats.org/officeDocument/2006/relationships/hyperlink" Target="http://jpart.oxfordjournals.org/content/early/2011/02/09/jopart.muq089.short" TargetMode="External"/><Relationship Id="rId73" Type="http://schemas.openxmlformats.org/officeDocument/2006/relationships/hyperlink" Target="http://www.esajournals.org/doi/abs/10.1890/130011" TargetMode="External"/><Relationship Id="rId78" Type="http://schemas.openxmlformats.org/officeDocument/2006/relationships/hyperlink" Target="http://www.sciencedirect.com/science/article/pii/S0959378012000179" TargetMode="External"/><Relationship Id="rId81" Type="http://schemas.openxmlformats.org/officeDocument/2006/relationships/hyperlink" Target="http://www.ecologyandsociety.org/vol11/iss2/resp2/" TargetMode="External"/><Relationship Id="rId86" Type="http://schemas.openxmlformats.org/officeDocument/2006/relationships/hyperlink" Target="http://www.des.ucdavis.edu/faculty/Richerson/CultNiche.pdf" TargetMode="External"/><Relationship Id="rId94" Type="http://schemas.openxmlformats.org/officeDocument/2006/relationships/hyperlink" Target="http://bioscience.oxfordjournals.org/content/58/1/27.short" TargetMode="External"/><Relationship Id="rId4" Type="http://schemas.openxmlformats.org/officeDocument/2006/relationships/hyperlink" Target="http://www.annualreviews.org/action/showCitFormats?doi=10.1146%2Fannurev.energy.30.050504.144511" TargetMode="External"/><Relationship Id="rId9" Type="http://schemas.openxmlformats.org/officeDocument/2006/relationships/hyperlink" Target="http://www.ecologyandsociety.org/vol9/iss1/art18/" TargetMode="External"/><Relationship Id="rId13" Type="http://schemas.openxmlformats.org/officeDocument/2006/relationships/hyperlink" Target="https://besjournals.onlinelibrary.wiley.com/doi/epdf/10.1111/1365-2435.13290?author_access_token=lWHWajb5Pf-x4prSdyrdZ4ta6bR2k8jH0KrdpFOxC676iq-D7ZM0d9wjy1SUQzFqbaXfdhI2FXTpi5Hm05mkoz7eT2b974m-LnJjtd2dd8qSrzClrWYkIqCVbRDVE9p5bC__My5-HQ_quBqr30GcfQ%3D%3D%20%E2%80%A6" TargetMode="External"/><Relationship Id="rId18" Type="http://schemas.openxmlformats.org/officeDocument/2006/relationships/hyperlink" Target="https://link.springer.com/article/10.1007/s10584-018-2358-0" TargetMode="External"/><Relationship Id="rId39" Type="http://schemas.openxmlformats.org/officeDocument/2006/relationships/hyperlink" Target="http://www.cecm.usp.br/~eris/pub/artigos/Lansing-CAS-annurev.anthro.pdf" TargetMode="External"/><Relationship Id="rId34" Type="http://schemas.openxmlformats.org/officeDocument/2006/relationships/hyperlink" Target="http://faculty.bennington.edu/~kwoods/classes/global%20change/global_2012/readings/Ostrom%20et%20al.%20-%201999%20-%20Revisiting%20the%20commons%20local%20lessons,%20global%20chal.pdf" TargetMode="External"/><Relationship Id="rId50" Type="http://schemas.openxmlformats.org/officeDocument/2006/relationships/hyperlink" Target="http://www.jstor.org/stable/10.2307/1956650" TargetMode="External"/><Relationship Id="rId55" Type="http://schemas.openxmlformats.org/officeDocument/2006/relationships/hyperlink" Target="http://library.mpib-berlin.mpg.de/ft/gg/GG_How_1995.pdf" TargetMode="External"/><Relationship Id="rId76" Type="http://schemas.openxmlformats.org/officeDocument/2006/relationships/hyperlink" Target="https://depts.washington.edu/cee390a/ES-2005-1462.pdf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ecologyandsociety.org/vol23/iss4/art36/" TargetMode="External"/><Relationship Id="rId71" Type="http://schemas.openxmlformats.org/officeDocument/2006/relationships/hyperlink" Target="http://www.americanscientist.org/bookshelf/pub/speaking-honestly-to-power" TargetMode="External"/><Relationship Id="rId92" Type="http://schemas.openxmlformats.org/officeDocument/2006/relationships/hyperlink" Target="http://www.esajournals.org/doi/abs/10.1890/0700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nnualreviews.org/doi/abs/10.1146/annurev.polisci.2.1.493" TargetMode="External"/><Relationship Id="rId24" Type="http://schemas.openxmlformats.org/officeDocument/2006/relationships/hyperlink" Target="http://iopscience.iop.org/1748-9326/8/1/014041" TargetMode="External"/><Relationship Id="rId40" Type="http://schemas.openxmlformats.org/officeDocument/2006/relationships/hyperlink" Target="http://onlinelibrary.wiley.com/doi/10.1111/psj.12028/full" TargetMode="External"/><Relationship Id="rId45" Type="http://schemas.openxmlformats.org/officeDocument/2006/relationships/hyperlink" Target="https://mahb.stanford.edu/wp-content/uploads/2013/08/Some-Perspectives-on-Linked-Ecosystems-and-Socio-Economic-Systems-Arrow-Ehrlich-and-Levin-20131.pdf" TargetMode="External"/><Relationship Id="rId66" Type="http://schemas.openxmlformats.org/officeDocument/2006/relationships/hyperlink" Target="http://muse.jhu.edu/journals/global_environmental_politics/v008/8.1young.html" TargetMode="External"/><Relationship Id="rId87" Type="http://schemas.openxmlformats.org/officeDocument/2006/relationships/hyperlink" Target="http://www.des.ucdavis.edu/faculty/Richerson/CGS%20for%20BBS.pdf" TargetMode="External"/><Relationship Id="rId61" Type="http://schemas.openxmlformats.org/officeDocument/2006/relationships/hyperlink" Target="http://journals.cambridge.org/action/displayAbstract?fromPage=online&amp;aid=4309220" TargetMode="External"/><Relationship Id="rId82" Type="http://schemas.openxmlformats.org/officeDocument/2006/relationships/hyperlink" Target="http://www.ecologyandsociety.org/vol11/iss2/art07/ES-2006-1793.pdf" TargetMode="External"/><Relationship Id="rId19" Type="http://schemas.openxmlformats.org/officeDocument/2006/relationships/hyperlink" Target="http://www.sciencedirect.com/science/article/pii/S095937800400010X" TargetMode="External"/><Relationship Id="rId14" Type="http://schemas.openxmlformats.org/officeDocument/2006/relationships/hyperlink" Target="http://www.sciencedirect.com/science/article/pii/S0959378006000379" TargetMode="External"/><Relationship Id="rId30" Type="http://schemas.openxmlformats.org/officeDocument/2006/relationships/hyperlink" Target="http://www.sciencedirect.com/science/article/pii/S1877343515000275" TargetMode="External"/><Relationship Id="rId35" Type="http://schemas.openxmlformats.org/officeDocument/2006/relationships/hyperlink" Target="http://www.jstor.org/stable/10.2307/2646923" TargetMode="External"/><Relationship Id="rId56" Type="http://schemas.openxmlformats.org/officeDocument/2006/relationships/hyperlink" Target="http://www.jstor.org/stable/pdfplus/3132137.pdf" TargetMode="External"/><Relationship Id="rId77" Type="http://schemas.openxmlformats.org/officeDocument/2006/relationships/hyperlink" Target="http://www.sciencedirect.com/science/article/pii/S0959378009000405" TargetMode="External"/><Relationship Id="rId8" Type="http://schemas.openxmlformats.org/officeDocument/2006/relationships/hyperlink" Target="http://www.ecologyandsociety.org/vol20/iss1/art55/" TargetMode="External"/><Relationship Id="rId51" Type="http://schemas.openxmlformats.org/officeDocument/2006/relationships/hyperlink" Target="http://www.jstor.org/stable/pdfplus/1738360.pdf?acceptTC=true" TargetMode="External"/><Relationship Id="rId72" Type="http://schemas.openxmlformats.org/officeDocument/2006/relationships/hyperlink" Target="http://www.jstor.org/stable/690164" TargetMode="External"/><Relationship Id="rId93" Type="http://schemas.openxmlformats.org/officeDocument/2006/relationships/hyperlink" Target="http://www.sciencedirect.com/science/article/pii/S0964569108000690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32988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Penrose, Jessica</dc:creator>
  <cp:keywords/>
  <dc:description/>
  <cp:lastModifiedBy>Penrose, Jessica</cp:lastModifiedBy>
  <cp:revision>1</cp:revision>
  <dcterms:created xsi:type="dcterms:W3CDTF">2019-03-27T16:24:00Z</dcterms:created>
  <dcterms:modified xsi:type="dcterms:W3CDTF">2019-03-27T17:41:00Z</dcterms:modified>
</cp:coreProperties>
</file>